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354" w14:textId="10B0E8A8" w:rsidR="003F42C2" w:rsidRPr="003F42C2" w:rsidRDefault="003F42C2" w:rsidP="00BE448B">
      <w:pPr>
        <w:pStyle w:val="Default"/>
        <w:ind w:right="720"/>
        <w:jc w:val="center"/>
        <w:rPr>
          <w:rFonts w:ascii="Calibri" w:hAnsi="Calibri" w:cs="Calibri"/>
          <w:b/>
          <w:bCs/>
          <w:sz w:val="48"/>
          <w:szCs w:val="48"/>
        </w:rPr>
      </w:pPr>
      <w:r>
        <w:rPr>
          <w:rFonts w:ascii="Calibri" w:hAnsi="Calibri" w:cs="Calibri"/>
          <w:b/>
          <w:bCs/>
          <w:sz w:val="48"/>
          <w:szCs w:val="48"/>
        </w:rPr>
        <w:t>Baggage</w:t>
      </w:r>
    </w:p>
    <w:p w14:paraId="57CC012B" w14:textId="77777777" w:rsidR="003F42C2" w:rsidRPr="003F42C2" w:rsidRDefault="003F42C2" w:rsidP="00BE448B">
      <w:pPr>
        <w:pStyle w:val="Default"/>
        <w:ind w:right="720"/>
        <w:jc w:val="center"/>
        <w:rPr>
          <w:rFonts w:ascii="Calibri" w:eastAsia="Futura" w:hAnsi="Calibri" w:cs="Calibri"/>
          <w:b/>
          <w:bCs/>
          <w:sz w:val="48"/>
          <w:szCs w:val="48"/>
        </w:rPr>
      </w:pPr>
      <w:r w:rsidRPr="003F42C2">
        <w:rPr>
          <w:rFonts w:ascii="Calibri" w:hAnsi="Calibri" w:cs="Calibri"/>
          <w:b/>
          <w:bCs/>
          <w:sz w:val="48"/>
          <w:szCs w:val="48"/>
        </w:rPr>
        <w:t>Series Road Map</w:t>
      </w:r>
    </w:p>
    <w:p w14:paraId="4855BECA" w14:textId="77777777" w:rsidR="003F42C2" w:rsidRDefault="003F42C2" w:rsidP="00BE448B">
      <w:pPr>
        <w:pStyle w:val="Default"/>
        <w:ind w:right="720"/>
        <w:jc w:val="center"/>
        <w:rPr>
          <w:rFonts w:ascii="Calibri" w:eastAsia="Calibri" w:hAnsi="Calibri" w:cs="Calibri"/>
          <w:sz w:val="28"/>
          <w:szCs w:val="28"/>
        </w:rPr>
      </w:pPr>
    </w:p>
    <w:p w14:paraId="76179FCA" w14:textId="6B22F8CC" w:rsidR="00BE448B" w:rsidRPr="00BE448B" w:rsidRDefault="003F42C2" w:rsidP="00BE448B">
      <w:pPr>
        <w:pStyle w:val="Default"/>
        <w:ind w:right="720"/>
        <w:rPr>
          <w:rFonts w:ascii="Calibri" w:hAnsi="Calibri" w:cs="Calibri"/>
          <w:b/>
          <w:bCs/>
          <w:sz w:val="24"/>
          <w:szCs w:val="24"/>
        </w:rPr>
      </w:pPr>
      <w:r w:rsidRPr="009E2753">
        <w:rPr>
          <w:rFonts w:ascii="Calibri" w:hAnsi="Calibri" w:cs="Calibri"/>
          <w:b/>
          <w:bCs/>
          <w:sz w:val="24"/>
          <w:szCs w:val="24"/>
        </w:rPr>
        <w:t xml:space="preserve">Series Overview: </w:t>
      </w:r>
    </w:p>
    <w:p w14:paraId="6567D3DD" w14:textId="2A14AC02" w:rsidR="003F42C2" w:rsidRDefault="002112BC" w:rsidP="00BE448B">
      <w:pPr>
        <w:pStyle w:val="Default"/>
        <w:ind w:right="720"/>
        <w:rPr>
          <w:rFonts w:ascii="Calibri" w:hAnsi="Calibri" w:cs="Calibri"/>
          <w:sz w:val="24"/>
          <w:szCs w:val="24"/>
        </w:rPr>
      </w:pPr>
      <w:r>
        <w:rPr>
          <w:rFonts w:ascii="Calibri" w:hAnsi="Calibri" w:cs="Calibri"/>
          <w:sz w:val="24"/>
          <w:szCs w:val="24"/>
        </w:rPr>
        <w:t>In today’s culture, students are surrounded by so many worldly things that are not of Christ. But as Christians, they are called to live different, in a world where they are not the majority, as mouthpieces of God. Afterall, Paul says in Romans 12:2, “</w:t>
      </w:r>
      <w:r w:rsidRPr="002112BC">
        <w:rPr>
          <w:rFonts w:ascii="Calibri" w:hAnsi="Calibri" w:cs="Calibri"/>
          <w:sz w:val="24"/>
          <w:szCs w:val="24"/>
        </w:rPr>
        <w:t xml:space="preserve">Do not conform to the pattern of this </w:t>
      </w:r>
      <w:proofErr w:type="gramStart"/>
      <w:r w:rsidRPr="002112BC">
        <w:rPr>
          <w:rFonts w:ascii="Calibri" w:hAnsi="Calibri" w:cs="Calibri"/>
          <w:sz w:val="24"/>
          <w:szCs w:val="24"/>
        </w:rPr>
        <w:t>world, but</w:t>
      </w:r>
      <w:proofErr w:type="gramEnd"/>
      <w:r w:rsidRPr="002112BC">
        <w:rPr>
          <w:rFonts w:ascii="Calibri" w:hAnsi="Calibri" w:cs="Calibri"/>
          <w:sz w:val="24"/>
          <w:szCs w:val="24"/>
        </w:rPr>
        <w:t xml:space="preserve"> be transformed by the renewing of your mind. Then you will be able to test and approve what God’s will is—his good, pleasing and perfect will.</w:t>
      </w:r>
      <w:r>
        <w:rPr>
          <w:rFonts w:ascii="Calibri" w:hAnsi="Calibri" w:cs="Calibri"/>
          <w:sz w:val="24"/>
          <w:szCs w:val="24"/>
        </w:rPr>
        <w:t>”</w:t>
      </w:r>
    </w:p>
    <w:p w14:paraId="1B9AC66B" w14:textId="1BBAC074" w:rsidR="002112BC" w:rsidRDefault="002112BC" w:rsidP="00BE448B">
      <w:pPr>
        <w:pStyle w:val="Default"/>
        <w:ind w:right="720"/>
        <w:rPr>
          <w:rFonts w:ascii="Calibri" w:hAnsi="Calibri" w:cs="Calibri"/>
          <w:sz w:val="24"/>
          <w:szCs w:val="24"/>
        </w:rPr>
      </w:pPr>
    </w:p>
    <w:p w14:paraId="6675E3DA" w14:textId="02DA56FC" w:rsidR="002112BC" w:rsidRDefault="002112BC" w:rsidP="00BE448B">
      <w:pPr>
        <w:pStyle w:val="Default"/>
        <w:ind w:right="720"/>
        <w:rPr>
          <w:rFonts w:ascii="Calibri" w:hAnsi="Calibri" w:cs="Calibri"/>
          <w:sz w:val="24"/>
          <w:szCs w:val="24"/>
        </w:rPr>
      </w:pPr>
      <w:r>
        <w:rPr>
          <w:rFonts w:ascii="Calibri" w:hAnsi="Calibri" w:cs="Calibri"/>
          <w:sz w:val="24"/>
          <w:szCs w:val="24"/>
        </w:rPr>
        <w:t>But as we know, living differently and “not conforming” can be easier said than done. So, who can we point to in Scripture that our students may identify as? The prophets.</w:t>
      </w:r>
    </w:p>
    <w:p w14:paraId="372BB97F" w14:textId="2377FCE7" w:rsidR="002112BC" w:rsidRDefault="002112BC" w:rsidP="00BE448B">
      <w:pPr>
        <w:pStyle w:val="Default"/>
        <w:ind w:right="720"/>
        <w:rPr>
          <w:rFonts w:ascii="Calibri" w:hAnsi="Calibri" w:cs="Calibri"/>
          <w:sz w:val="24"/>
          <w:szCs w:val="24"/>
        </w:rPr>
      </w:pPr>
    </w:p>
    <w:p w14:paraId="40EDFB81" w14:textId="1415FDF9" w:rsidR="002112BC" w:rsidRDefault="002112BC" w:rsidP="00BE448B">
      <w:pPr>
        <w:pStyle w:val="Default"/>
        <w:ind w:right="720"/>
        <w:rPr>
          <w:rFonts w:asciiTheme="minorHAnsi" w:eastAsia="Times New Roman" w:hAnsiTheme="minorHAnsi" w:cstheme="minorHAnsi"/>
          <w:sz w:val="24"/>
          <w:szCs w:val="24"/>
        </w:rPr>
      </w:pPr>
      <w:r w:rsidRPr="002112BC">
        <w:rPr>
          <w:rFonts w:asciiTheme="minorHAnsi" w:hAnsiTheme="minorHAnsi" w:cstheme="minorHAnsi"/>
          <w:sz w:val="24"/>
          <w:szCs w:val="24"/>
        </w:rPr>
        <w:t xml:space="preserve">Prophets were exactly what </w:t>
      </w:r>
      <w:r w:rsidR="006F631A">
        <w:rPr>
          <w:rFonts w:asciiTheme="minorHAnsi" w:hAnsiTheme="minorHAnsi" w:cstheme="minorHAnsi"/>
          <w:sz w:val="24"/>
          <w:szCs w:val="24"/>
        </w:rPr>
        <w:t>our</w:t>
      </w:r>
      <w:r w:rsidRPr="002112BC">
        <w:rPr>
          <w:rFonts w:asciiTheme="minorHAnsi" w:hAnsiTheme="minorHAnsi" w:cstheme="minorHAnsi"/>
          <w:sz w:val="24"/>
          <w:szCs w:val="24"/>
        </w:rPr>
        <w:t xml:space="preserve"> students are—mouthpieces of God. Not only was their role to prophecy in the Old Testament, but they were to be </w:t>
      </w:r>
      <w:r w:rsidR="00BE448B">
        <w:rPr>
          <w:rFonts w:asciiTheme="minorHAnsi" w:hAnsiTheme="minorHAnsi" w:cstheme="minorHAnsi"/>
          <w:sz w:val="24"/>
          <w:szCs w:val="24"/>
        </w:rPr>
        <w:t xml:space="preserve">messengers and </w:t>
      </w:r>
      <w:r w:rsidRPr="002112BC">
        <w:rPr>
          <w:rFonts w:asciiTheme="minorHAnsi" w:hAnsiTheme="minorHAnsi" w:cstheme="minorHAnsi"/>
          <w:sz w:val="24"/>
          <w:szCs w:val="24"/>
        </w:rPr>
        <w:t xml:space="preserve">street communicators to those around them. </w:t>
      </w:r>
      <w:r w:rsidR="00BE448B">
        <w:rPr>
          <w:rFonts w:asciiTheme="minorHAnsi" w:hAnsiTheme="minorHAnsi" w:cstheme="minorHAnsi"/>
          <w:sz w:val="24"/>
          <w:szCs w:val="24"/>
        </w:rPr>
        <w:t xml:space="preserve">Christopher J.H. Wright </w:t>
      </w:r>
      <w:r w:rsidRPr="002112BC">
        <w:rPr>
          <w:rFonts w:asciiTheme="minorHAnsi" w:hAnsiTheme="minorHAnsi" w:cstheme="minorHAnsi"/>
          <w:sz w:val="24"/>
          <w:szCs w:val="24"/>
        </w:rPr>
        <w:t>puts it the following way on page 102</w:t>
      </w:r>
      <w:r w:rsidR="00BE448B">
        <w:rPr>
          <w:rFonts w:asciiTheme="minorHAnsi" w:hAnsiTheme="minorHAnsi" w:cstheme="minorHAnsi"/>
          <w:sz w:val="24"/>
          <w:szCs w:val="24"/>
        </w:rPr>
        <w:t xml:space="preserve"> on his book, </w:t>
      </w:r>
      <w:r w:rsidR="00BE448B" w:rsidRPr="00BE448B">
        <w:rPr>
          <w:rFonts w:asciiTheme="minorHAnsi" w:hAnsiTheme="minorHAnsi" w:cstheme="minorHAnsi"/>
          <w:i/>
          <w:iCs/>
          <w:sz w:val="24"/>
          <w:szCs w:val="24"/>
        </w:rPr>
        <w:t>The Old Testament in Seven Sentences</w:t>
      </w:r>
      <w:r w:rsidRPr="002112BC">
        <w:rPr>
          <w:rFonts w:asciiTheme="minorHAnsi" w:hAnsiTheme="minorHAnsi" w:cstheme="minorHAnsi"/>
          <w:sz w:val="24"/>
          <w:szCs w:val="24"/>
        </w:rPr>
        <w:t xml:space="preserve">: </w:t>
      </w:r>
      <w:r w:rsidRPr="002112BC">
        <w:rPr>
          <w:rFonts w:asciiTheme="minorHAnsi" w:eastAsia="Times New Roman" w:hAnsiTheme="minorHAnsi" w:cstheme="minorHAnsi"/>
          <w:sz w:val="24"/>
          <w:szCs w:val="24"/>
        </w:rPr>
        <w:t xml:space="preserve">“The job of the prophets is to speak God’s word directly to the people around them, </w:t>
      </w:r>
      <w:r w:rsidRPr="002112BC">
        <w:rPr>
          <w:rFonts w:asciiTheme="minorHAnsi" w:eastAsia="Times New Roman" w:hAnsiTheme="minorHAnsi" w:cstheme="minorHAnsi"/>
          <w:b/>
          <w:bCs/>
          <w:sz w:val="24"/>
          <w:szCs w:val="24"/>
        </w:rPr>
        <w:t>their own generation</w:t>
      </w:r>
      <w:r w:rsidRPr="002112BC">
        <w:rPr>
          <w:rFonts w:asciiTheme="minorHAnsi" w:eastAsia="Times New Roman" w:hAnsiTheme="minorHAnsi" w:cstheme="minorHAnsi"/>
          <w:sz w:val="24"/>
          <w:szCs w:val="24"/>
        </w:rPr>
        <w:t xml:space="preserve">. They tell the people of Israel what God is thinking and saying about </w:t>
      </w:r>
      <w:r w:rsidRPr="002112BC">
        <w:rPr>
          <w:rFonts w:asciiTheme="minorHAnsi" w:eastAsia="Times New Roman" w:hAnsiTheme="minorHAnsi" w:cstheme="minorHAnsi"/>
          <w:b/>
          <w:bCs/>
          <w:sz w:val="24"/>
          <w:szCs w:val="24"/>
        </w:rPr>
        <w:t xml:space="preserve">the </w:t>
      </w:r>
      <w:r w:rsidRPr="002112BC">
        <w:rPr>
          <w:rFonts w:asciiTheme="minorHAnsi" w:eastAsia="Times New Roman" w:hAnsiTheme="minorHAnsi" w:cstheme="minorHAnsi"/>
          <w:b/>
          <w:bCs/>
          <w:i/>
          <w:iCs/>
          <w:sz w:val="24"/>
          <w:szCs w:val="24"/>
        </w:rPr>
        <w:t>present</w:t>
      </w:r>
      <w:r w:rsidRPr="002112BC">
        <w:rPr>
          <w:rFonts w:asciiTheme="minorHAnsi" w:eastAsia="Times New Roman" w:hAnsiTheme="minorHAnsi" w:cstheme="minorHAnsi"/>
          <w:b/>
          <w:bCs/>
          <w:sz w:val="24"/>
          <w:szCs w:val="24"/>
        </w:rPr>
        <w:t xml:space="preserve"> situation</w:t>
      </w:r>
      <w:r w:rsidRPr="002112BC">
        <w:rPr>
          <w:rFonts w:asciiTheme="minorHAnsi" w:eastAsia="Times New Roman" w:hAnsiTheme="minorHAnsi" w:cstheme="minorHAnsi"/>
          <w:sz w:val="24"/>
          <w:szCs w:val="24"/>
        </w:rPr>
        <w:t>, whatever is going on in their own time.”</w:t>
      </w:r>
      <w:r>
        <w:rPr>
          <w:rFonts w:asciiTheme="minorHAnsi" w:eastAsia="Times New Roman" w:hAnsiTheme="minorHAnsi" w:cstheme="minorHAnsi"/>
          <w:sz w:val="24"/>
          <w:szCs w:val="24"/>
        </w:rPr>
        <w:t xml:space="preserve"> This series is for the purpose of equipping students to speak to their own generation in their present situation as </w:t>
      </w:r>
      <w:r w:rsidR="00BE448B">
        <w:rPr>
          <w:rFonts w:asciiTheme="minorHAnsi" w:eastAsia="Times New Roman" w:hAnsiTheme="minorHAnsi" w:cstheme="minorHAnsi"/>
          <w:sz w:val="24"/>
          <w:szCs w:val="24"/>
        </w:rPr>
        <w:t xml:space="preserve">messengers, </w:t>
      </w:r>
      <w:r>
        <w:rPr>
          <w:rFonts w:asciiTheme="minorHAnsi" w:eastAsia="Times New Roman" w:hAnsiTheme="minorHAnsi" w:cstheme="minorHAnsi"/>
          <w:sz w:val="24"/>
          <w:szCs w:val="24"/>
        </w:rPr>
        <w:t>street communicators and mouthpieces of God.</w:t>
      </w:r>
    </w:p>
    <w:p w14:paraId="1142D1C8" w14:textId="4B7693D0" w:rsidR="002112BC" w:rsidRDefault="002112BC" w:rsidP="00BE448B">
      <w:pPr>
        <w:pStyle w:val="Default"/>
        <w:ind w:right="720"/>
        <w:rPr>
          <w:rFonts w:asciiTheme="minorHAnsi" w:eastAsia="Times New Roman" w:hAnsiTheme="minorHAnsi" w:cstheme="minorHAnsi"/>
          <w:sz w:val="24"/>
          <w:szCs w:val="24"/>
        </w:rPr>
      </w:pPr>
    </w:p>
    <w:p w14:paraId="1F116835" w14:textId="772340A9" w:rsidR="002112BC" w:rsidRPr="002112BC" w:rsidRDefault="002112BC" w:rsidP="00BE448B">
      <w:pPr>
        <w:pStyle w:val="Default"/>
        <w:ind w:righ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So why “Baggage”? Well in the time of the prophets, a theme we see is that they were calling those around them </w:t>
      </w:r>
      <w:r w:rsidRPr="002112BC">
        <w:rPr>
          <w:rFonts w:asciiTheme="minorHAnsi" w:eastAsia="Times New Roman" w:hAnsiTheme="minorHAnsi" w:cstheme="minorHAnsi"/>
          <w:sz w:val="24"/>
          <w:szCs w:val="24"/>
        </w:rPr>
        <w:t xml:space="preserve">to </w:t>
      </w:r>
      <w:r>
        <w:rPr>
          <w:rFonts w:asciiTheme="minorHAnsi" w:eastAsia="Times New Roman" w:hAnsiTheme="minorHAnsi" w:cstheme="minorHAnsi"/>
          <w:sz w:val="24"/>
          <w:szCs w:val="24"/>
          <w:shd w:val="clear" w:color="auto" w:fill="FFFFFF"/>
        </w:rPr>
        <w:t>p</w:t>
      </w:r>
      <w:r w:rsidRPr="002112BC">
        <w:rPr>
          <w:rFonts w:asciiTheme="minorHAnsi" w:eastAsia="Times New Roman" w:hAnsiTheme="minorHAnsi" w:cstheme="minorHAnsi"/>
          <w:sz w:val="24"/>
          <w:szCs w:val="24"/>
          <w:shd w:val="clear" w:color="auto" w:fill="FFFFFF"/>
        </w:rPr>
        <w:t>ack what</w:t>
      </w:r>
      <w:r>
        <w:rPr>
          <w:rFonts w:asciiTheme="minorHAnsi" w:eastAsia="Times New Roman" w:hAnsiTheme="minorHAnsi" w:cstheme="minorHAnsi"/>
          <w:sz w:val="24"/>
          <w:szCs w:val="24"/>
          <w:shd w:val="clear" w:color="auto" w:fill="FFFFFF"/>
        </w:rPr>
        <w:t xml:space="preserve"> is</w:t>
      </w:r>
      <w:r w:rsidRPr="002112BC">
        <w:rPr>
          <w:rFonts w:asciiTheme="minorHAnsi" w:eastAsia="Times New Roman" w:hAnsiTheme="minorHAnsi" w:cstheme="minorHAnsi"/>
          <w:sz w:val="24"/>
          <w:szCs w:val="24"/>
          <w:shd w:val="clear" w:color="auto" w:fill="FFFFFF"/>
        </w:rPr>
        <w:t xml:space="preserve"> necessary for </w:t>
      </w:r>
      <w:r>
        <w:rPr>
          <w:rFonts w:asciiTheme="minorHAnsi" w:eastAsia="Times New Roman" w:hAnsiTheme="minorHAnsi" w:cstheme="minorHAnsi"/>
          <w:sz w:val="24"/>
          <w:szCs w:val="24"/>
          <w:shd w:val="clear" w:color="auto" w:fill="FFFFFF"/>
        </w:rPr>
        <w:t>God’s people</w:t>
      </w:r>
      <w:r w:rsidRPr="002112BC">
        <w:rPr>
          <w:rFonts w:asciiTheme="minorHAnsi" w:eastAsia="Times New Roman" w:hAnsiTheme="minorHAnsi" w:cstheme="minorHAnsi"/>
          <w:sz w:val="24"/>
          <w:szCs w:val="24"/>
          <w:shd w:val="clear" w:color="auto" w:fill="FFFFFF"/>
        </w:rPr>
        <w:t xml:space="preserve">, </w:t>
      </w:r>
      <w:r>
        <w:rPr>
          <w:rFonts w:asciiTheme="minorHAnsi" w:eastAsia="Times New Roman" w:hAnsiTheme="minorHAnsi" w:cstheme="minorHAnsi"/>
          <w:sz w:val="24"/>
          <w:szCs w:val="24"/>
          <w:shd w:val="clear" w:color="auto" w:fill="FFFFFF"/>
        </w:rPr>
        <w:t xml:space="preserve">while </w:t>
      </w:r>
      <w:r w:rsidRPr="002112BC">
        <w:rPr>
          <w:rFonts w:asciiTheme="minorHAnsi" w:eastAsia="Times New Roman" w:hAnsiTheme="minorHAnsi" w:cstheme="minorHAnsi"/>
          <w:sz w:val="24"/>
          <w:szCs w:val="24"/>
          <w:shd w:val="clear" w:color="auto" w:fill="FFFFFF"/>
        </w:rPr>
        <w:t>leav</w:t>
      </w:r>
      <w:r>
        <w:rPr>
          <w:rFonts w:asciiTheme="minorHAnsi" w:eastAsia="Times New Roman" w:hAnsiTheme="minorHAnsi" w:cstheme="minorHAnsi"/>
          <w:sz w:val="24"/>
          <w:szCs w:val="24"/>
          <w:shd w:val="clear" w:color="auto" w:fill="FFFFFF"/>
        </w:rPr>
        <w:t>ing</w:t>
      </w:r>
      <w:r w:rsidRPr="002112BC">
        <w:rPr>
          <w:rFonts w:asciiTheme="minorHAnsi" w:eastAsia="Times New Roman" w:hAnsiTheme="minorHAnsi" w:cstheme="minorHAnsi"/>
          <w:sz w:val="24"/>
          <w:szCs w:val="24"/>
          <w:shd w:val="clear" w:color="auto" w:fill="FFFFFF"/>
        </w:rPr>
        <w:t xml:space="preserve"> behind what’s not useful </w:t>
      </w:r>
      <w:r>
        <w:rPr>
          <w:rFonts w:asciiTheme="minorHAnsi" w:eastAsia="Times New Roman" w:hAnsiTheme="minorHAnsi" w:cstheme="minorHAnsi"/>
          <w:sz w:val="24"/>
          <w:szCs w:val="24"/>
          <w:shd w:val="clear" w:color="auto" w:fill="FFFFFF"/>
        </w:rPr>
        <w:t xml:space="preserve">for them. We want our students to do the same. This series is aimed at encouraging students to release or let go of the “baggage” they’re holding on to, so that they may become more Christ-like in a way that is outwardly noticeable to those around them. </w:t>
      </w:r>
    </w:p>
    <w:p w14:paraId="63AC15DB" w14:textId="77777777" w:rsidR="003F42C2" w:rsidRPr="009E2753" w:rsidRDefault="003F42C2" w:rsidP="00BE448B">
      <w:pPr>
        <w:pStyle w:val="Default"/>
        <w:ind w:right="720"/>
        <w:rPr>
          <w:rFonts w:ascii="Calibri" w:eastAsia="Calibri" w:hAnsi="Calibri" w:cs="Calibri"/>
          <w:sz w:val="24"/>
          <w:szCs w:val="24"/>
        </w:rPr>
      </w:pPr>
    </w:p>
    <w:p w14:paraId="6BB9C70C" w14:textId="20A288B9" w:rsidR="00BE448B" w:rsidRDefault="00BE448B" w:rsidP="00BE448B">
      <w:pPr>
        <w:pStyle w:val="Default"/>
        <w:ind w:right="720"/>
        <w:rPr>
          <w:rFonts w:ascii="Calibri" w:hAnsi="Calibri" w:cs="Calibri"/>
          <w:b/>
          <w:bCs/>
          <w:sz w:val="24"/>
          <w:szCs w:val="24"/>
        </w:rPr>
      </w:pPr>
      <w:r>
        <w:rPr>
          <w:rFonts w:ascii="Calibri" w:hAnsi="Calibri" w:cs="Calibri"/>
          <w:b/>
          <w:bCs/>
          <w:sz w:val="24"/>
          <w:szCs w:val="24"/>
        </w:rPr>
        <w:t>Generic Historical Background and Literary Context of the Minor Prophets:</w:t>
      </w:r>
    </w:p>
    <w:p w14:paraId="27EB1D40" w14:textId="035A0B23" w:rsidR="00BE448B" w:rsidRDefault="00BE448B" w:rsidP="00BE448B">
      <w:pPr>
        <w:pStyle w:val="Default"/>
        <w:ind w:right="720"/>
        <w:rPr>
          <w:rFonts w:ascii="Calibri" w:hAnsi="Calibri" w:cs="Calibri"/>
          <w:sz w:val="24"/>
          <w:szCs w:val="24"/>
        </w:rPr>
      </w:pPr>
      <w:r>
        <w:rPr>
          <w:rFonts w:ascii="Calibri" w:hAnsi="Calibri" w:cs="Calibri"/>
          <w:sz w:val="24"/>
          <w:szCs w:val="24"/>
        </w:rPr>
        <w:t xml:space="preserve">There are many prophets listed and spoken about throughout the entirety of the Old Testament. However, in the Biblical canon that we look to as God’s truth today, there are 15 prophetic books. Within those 15 books, there are the “major” prophets (Isaiah, Jeremiah, and Ezekiel) and the “minor” prophets. The minor prophetic books are also known as “The Book of the Twelve.” The twelve minor prophets are </w:t>
      </w:r>
      <w:r w:rsidRPr="00BE448B">
        <w:rPr>
          <w:rFonts w:ascii="Calibri" w:hAnsi="Calibri" w:cs="Calibri"/>
          <w:sz w:val="24"/>
          <w:szCs w:val="24"/>
          <w:u w:val="single"/>
        </w:rPr>
        <w:t>Hosea</w:t>
      </w:r>
      <w:r w:rsidRPr="00BE448B">
        <w:rPr>
          <w:rFonts w:ascii="Calibri" w:hAnsi="Calibri" w:cs="Calibri"/>
          <w:sz w:val="24"/>
          <w:szCs w:val="24"/>
        </w:rPr>
        <w:t xml:space="preserve">, Joel, Amos, Obadiah, Jonah, </w:t>
      </w:r>
      <w:r w:rsidRPr="00BE448B">
        <w:rPr>
          <w:rFonts w:ascii="Calibri" w:hAnsi="Calibri" w:cs="Calibri"/>
          <w:sz w:val="24"/>
          <w:szCs w:val="24"/>
          <w:u w:val="single"/>
        </w:rPr>
        <w:t>Micah</w:t>
      </w:r>
      <w:r w:rsidRPr="00BE448B">
        <w:rPr>
          <w:rFonts w:ascii="Calibri" w:hAnsi="Calibri" w:cs="Calibri"/>
          <w:sz w:val="24"/>
          <w:szCs w:val="24"/>
        </w:rPr>
        <w:t xml:space="preserve">, Nahum, </w:t>
      </w:r>
      <w:r w:rsidRPr="00BE448B">
        <w:rPr>
          <w:rFonts w:ascii="Calibri" w:hAnsi="Calibri" w:cs="Calibri"/>
          <w:sz w:val="24"/>
          <w:szCs w:val="24"/>
          <w:u w:val="single"/>
        </w:rPr>
        <w:t>Habakkuk</w:t>
      </w:r>
      <w:r w:rsidRPr="00BE448B">
        <w:rPr>
          <w:rFonts w:ascii="Calibri" w:hAnsi="Calibri" w:cs="Calibri"/>
          <w:sz w:val="24"/>
          <w:szCs w:val="24"/>
        </w:rPr>
        <w:t xml:space="preserve">, Zephaniah, </w:t>
      </w:r>
      <w:r w:rsidRPr="00BE448B">
        <w:rPr>
          <w:rFonts w:ascii="Calibri" w:hAnsi="Calibri" w:cs="Calibri"/>
          <w:sz w:val="24"/>
          <w:szCs w:val="24"/>
          <w:u w:val="single"/>
        </w:rPr>
        <w:t>Haggai</w:t>
      </w:r>
      <w:r w:rsidRPr="00BE448B">
        <w:rPr>
          <w:rFonts w:ascii="Calibri" w:hAnsi="Calibri" w:cs="Calibri"/>
          <w:sz w:val="24"/>
          <w:szCs w:val="24"/>
        </w:rPr>
        <w:t xml:space="preserve">, Zechariah, and </w:t>
      </w:r>
      <w:r w:rsidRPr="00BE448B">
        <w:rPr>
          <w:rFonts w:ascii="Calibri" w:hAnsi="Calibri" w:cs="Calibri"/>
          <w:sz w:val="24"/>
          <w:szCs w:val="24"/>
          <w:u w:val="single"/>
        </w:rPr>
        <w:t>Malachi</w:t>
      </w:r>
      <w:r>
        <w:rPr>
          <w:rFonts w:ascii="Calibri" w:hAnsi="Calibri" w:cs="Calibri"/>
          <w:sz w:val="24"/>
          <w:szCs w:val="24"/>
        </w:rPr>
        <w:t xml:space="preserve">. </w:t>
      </w:r>
    </w:p>
    <w:p w14:paraId="54EC2271" w14:textId="77777777" w:rsidR="00BE448B" w:rsidRDefault="00BE448B" w:rsidP="00BE448B">
      <w:pPr>
        <w:pStyle w:val="Default"/>
        <w:ind w:right="720"/>
        <w:rPr>
          <w:rFonts w:ascii="Calibri" w:hAnsi="Calibri" w:cs="Calibri"/>
          <w:sz w:val="24"/>
          <w:szCs w:val="24"/>
        </w:rPr>
      </w:pPr>
    </w:p>
    <w:p w14:paraId="549EC2FF" w14:textId="587DF4A8" w:rsidR="00BE448B" w:rsidRDefault="00BE448B" w:rsidP="00BE448B">
      <w:pPr>
        <w:pStyle w:val="Default"/>
        <w:ind w:right="720"/>
        <w:rPr>
          <w:rFonts w:ascii="Calibri" w:hAnsi="Calibri" w:cs="Calibri"/>
          <w:sz w:val="24"/>
          <w:szCs w:val="24"/>
        </w:rPr>
      </w:pPr>
      <w:r>
        <w:rPr>
          <w:rFonts w:ascii="Calibri" w:hAnsi="Calibri" w:cs="Calibri"/>
          <w:sz w:val="24"/>
          <w:szCs w:val="24"/>
        </w:rPr>
        <w:t xml:space="preserve">It’s important to know that the word “minor” doesn’t mean that the twelve are of any less importance; “minor” just indicates that their books are shorter. Amongst the twelve are eighth century </w:t>
      </w:r>
      <w:r w:rsidR="00EF6A84">
        <w:rPr>
          <w:rFonts w:ascii="Calibri" w:hAnsi="Calibri" w:cs="Calibri"/>
          <w:sz w:val="24"/>
          <w:szCs w:val="24"/>
        </w:rPr>
        <w:t xml:space="preserve">B.C. </w:t>
      </w:r>
      <w:r>
        <w:rPr>
          <w:rFonts w:ascii="Calibri" w:hAnsi="Calibri" w:cs="Calibri"/>
          <w:sz w:val="24"/>
          <w:szCs w:val="24"/>
        </w:rPr>
        <w:t xml:space="preserve">prophets (Hosea and Micah), seventh century </w:t>
      </w:r>
      <w:r w:rsidR="00EF6A84">
        <w:rPr>
          <w:rFonts w:ascii="Calibri" w:hAnsi="Calibri" w:cs="Calibri"/>
          <w:sz w:val="24"/>
          <w:szCs w:val="24"/>
        </w:rPr>
        <w:t xml:space="preserve">B.C. </w:t>
      </w:r>
      <w:r>
        <w:rPr>
          <w:rFonts w:ascii="Calibri" w:hAnsi="Calibri" w:cs="Calibri"/>
          <w:sz w:val="24"/>
          <w:szCs w:val="24"/>
        </w:rPr>
        <w:t>prophets</w:t>
      </w:r>
      <w:r w:rsidR="00EF6A84">
        <w:rPr>
          <w:rFonts w:ascii="Calibri" w:hAnsi="Calibri" w:cs="Calibri"/>
          <w:sz w:val="24"/>
          <w:szCs w:val="24"/>
        </w:rPr>
        <w:t xml:space="preserve"> </w:t>
      </w:r>
      <w:r>
        <w:rPr>
          <w:rFonts w:ascii="Calibri" w:hAnsi="Calibri" w:cs="Calibri"/>
          <w:sz w:val="24"/>
          <w:szCs w:val="24"/>
        </w:rPr>
        <w:lastRenderedPageBreak/>
        <w:t xml:space="preserve">(Habakkuk), sixth century </w:t>
      </w:r>
      <w:r w:rsidR="00EF6A84">
        <w:rPr>
          <w:rFonts w:ascii="Calibri" w:hAnsi="Calibri" w:cs="Calibri"/>
          <w:sz w:val="24"/>
          <w:szCs w:val="24"/>
        </w:rPr>
        <w:t xml:space="preserve">B.C. </w:t>
      </w:r>
      <w:r>
        <w:rPr>
          <w:rFonts w:ascii="Calibri" w:hAnsi="Calibri" w:cs="Calibri"/>
          <w:sz w:val="24"/>
          <w:szCs w:val="24"/>
        </w:rPr>
        <w:t xml:space="preserve">prophets (Haggai), and fifth century </w:t>
      </w:r>
      <w:r w:rsidR="00EF6A84">
        <w:rPr>
          <w:rFonts w:ascii="Calibri" w:hAnsi="Calibri" w:cs="Calibri"/>
          <w:sz w:val="24"/>
          <w:szCs w:val="24"/>
        </w:rPr>
        <w:t xml:space="preserve">B.C. </w:t>
      </w:r>
      <w:r>
        <w:rPr>
          <w:rFonts w:ascii="Calibri" w:hAnsi="Calibri" w:cs="Calibri"/>
          <w:sz w:val="24"/>
          <w:szCs w:val="24"/>
        </w:rPr>
        <w:t>prophets (Malachi). This series will focus on the five underlined or listed in parenthesis.</w:t>
      </w:r>
    </w:p>
    <w:p w14:paraId="1D02E2C8" w14:textId="12C2DD37" w:rsidR="00BE448B" w:rsidRDefault="00BE448B" w:rsidP="00BE448B">
      <w:pPr>
        <w:pStyle w:val="Default"/>
        <w:ind w:right="720"/>
        <w:rPr>
          <w:rFonts w:ascii="Calibri" w:hAnsi="Calibri" w:cs="Calibri"/>
          <w:sz w:val="24"/>
          <w:szCs w:val="24"/>
        </w:rPr>
      </w:pPr>
    </w:p>
    <w:p w14:paraId="58AD3031" w14:textId="7C9AFEA1" w:rsidR="00BE448B" w:rsidRDefault="00BE448B" w:rsidP="00BE448B">
      <w:pPr>
        <w:pStyle w:val="Default"/>
        <w:ind w:right="720"/>
        <w:rPr>
          <w:rFonts w:ascii="Calibri" w:hAnsi="Calibri" w:cs="Calibri"/>
          <w:sz w:val="24"/>
          <w:szCs w:val="24"/>
        </w:rPr>
      </w:pPr>
      <w:r>
        <w:rPr>
          <w:rFonts w:ascii="Calibri" w:hAnsi="Calibri" w:cs="Calibri"/>
          <w:sz w:val="24"/>
          <w:szCs w:val="24"/>
        </w:rPr>
        <w:t>The last thing to know about the minor prophets is that some of them lived during the time of the divided kingdom. This is when God’s people had been split into the Northern Kingdom (Israel) and the Southern Kingdom (Judah). For this series, t</w:t>
      </w:r>
      <w:r w:rsidR="00067220">
        <w:rPr>
          <w:rFonts w:ascii="Calibri" w:hAnsi="Calibri" w:cs="Calibri"/>
          <w:sz w:val="24"/>
          <w:szCs w:val="24"/>
        </w:rPr>
        <w:t>hree</w:t>
      </w:r>
      <w:r>
        <w:rPr>
          <w:rFonts w:ascii="Calibri" w:hAnsi="Calibri" w:cs="Calibri"/>
          <w:sz w:val="24"/>
          <w:szCs w:val="24"/>
        </w:rPr>
        <w:t xml:space="preserve"> of our minor prophets lived during this time. Hosea was a Northern Kingdom prophet, while Micah </w:t>
      </w:r>
      <w:r w:rsidR="00067220">
        <w:rPr>
          <w:rFonts w:ascii="Calibri" w:hAnsi="Calibri" w:cs="Calibri"/>
          <w:sz w:val="24"/>
          <w:szCs w:val="24"/>
        </w:rPr>
        <w:t xml:space="preserve">and Habakkuk </w:t>
      </w:r>
      <w:r>
        <w:rPr>
          <w:rFonts w:ascii="Calibri" w:hAnsi="Calibri" w:cs="Calibri"/>
          <w:sz w:val="24"/>
          <w:szCs w:val="24"/>
        </w:rPr>
        <w:t>w</w:t>
      </w:r>
      <w:r w:rsidR="00067220">
        <w:rPr>
          <w:rFonts w:ascii="Calibri" w:hAnsi="Calibri" w:cs="Calibri"/>
          <w:sz w:val="24"/>
          <w:szCs w:val="24"/>
        </w:rPr>
        <w:t>ere</w:t>
      </w:r>
      <w:r>
        <w:rPr>
          <w:rFonts w:ascii="Calibri" w:hAnsi="Calibri" w:cs="Calibri"/>
          <w:sz w:val="24"/>
          <w:szCs w:val="24"/>
        </w:rPr>
        <w:t xml:space="preserve"> Southern Kingdom prophet</w:t>
      </w:r>
      <w:r w:rsidR="00067220">
        <w:rPr>
          <w:rFonts w:ascii="Calibri" w:hAnsi="Calibri" w:cs="Calibri"/>
          <w:sz w:val="24"/>
          <w:szCs w:val="24"/>
        </w:rPr>
        <w:t>s</w:t>
      </w:r>
      <w:r>
        <w:rPr>
          <w:rFonts w:ascii="Calibri" w:hAnsi="Calibri" w:cs="Calibri"/>
          <w:sz w:val="24"/>
          <w:szCs w:val="24"/>
        </w:rPr>
        <w:t>.</w:t>
      </w:r>
    </w:p>
    <w:p w14:paraId="3057EE5A" w14:textId="385FC292" w:rsidR="00BE448B" w:rsidRDefault="00BE448B" w:rsidP="00BE448B">
      <w:pPr>
        <w:pStyle w:val="Default"/>
        <w:ind w:right="720"/>
        <w:rPr>
          <w:rFonts w:ascii="Calibri" w:hAnsi="Calibri" w:cs="Calibri"/>
          <w:sz w:val="24"/>
          <w:szCs w:val="24"/>
        </w:rPr>
      </w:pPr>
    </w:p>
    <w:p w14:paraId="4FAF45FB" w14:textId="6B58903B" w:rsidR="00BE448B" w:rsidRPr="009E2753" w:rsidRDefault="00BE448B" w:rsidP="00BE448B">
      <w:pPr>
        <w:pStyle w:val="Default"/>
        <w:ind w:right="720"/>
        <w:rPr>
          <w:rFonts w:ascii="Calibri" w:hAnsi="Calibri" w:cs="Calibri"/>
          <w:b/>
          <w:bCs/>
          <w:sz w:val="24"/>
          <w:szCs w:val="24"/>
        </w:rPr>
      </w:pPr>
      <w:r w:rsidRPr="009E2753">
        <w:rPr>
          <w:rFonts w:ascii="Calibri" w:hAnsi="Calibri" w:cs="Calibri"/>
          <w:b/>
          <w:bCs/>
          <w:sz w:val="24"/>
          <w:szCs w:val="24"/>
        </w:rPr>
        <w:t>Week</w:t>
      </w:r>
      <w:r w:rsidR="00AE66D7">
        <w:rPr>
          <w:rFonts w:ascii="Calibri" w:hAnsi="Calibri" w:cs="Calibri"/>
          <w:b/>
          <w:bCs/>
          <w:sz w:val="24"/>
          <w:szCs w:val="24"/>
        </w:rPr>
        <w:t>ly</w:t>
      </w:r>
      <w:r w:rsidRPr="009E2753">
        <w:rPr>
          <w:rFonts w:ascii="Calibri" w:hAnsi="Calibri" w:cs="Calibri"/>
          <w:b/>
          <w:bCs/>
          <w:sz w:val="24"/>
          <w:szCs w:val="24"/>
        </w:rPr>
        <w:t xml:space="preserve"> Overview:</w:t>
      </w:r>
    </w:p>
    <w:p w14:paraId="121C9750" w14:textId="77777777" w:rsidR="00BE448B" w:rsidRPr="009E2753" w:rsidRDefault="00BE448B" w:rsidP="00BE448B">
      <w:pPr>
        <w:pStyle w:val="Default"/>
        <w:ind w:right="720"/>
        <w:rPr>
          <w:rFonts w:ascii="Calibri" w:hAnsi="Calibri" w:cs="Calibri"/>
          <w:sz w:val="24"/>
          <w:szCs w:val="24"/>
        </w:rPr>
      </w:pPr>
      <w:r w:rsidRPr="009E2753">
        <w:rPr>
          <w:rFonts w:ascii="Calibri" w:hAnsi="Calibri" w:cs="Calibri"/>
          <w:sz w:val="24"/>
          <w:szCs w:val="24"/>
        </w:rPr>
        <w:t xml:space="preserve">Week 1: </w:t>
      </w:r>
      <w:r>
        <w:rPr>
          <w:rFonts w:ascii="Calibri" w:hAnsi="Calibri" w:cs="Calibri"/>
          <w:sz w:val="24"/>
          <w:szCs w:val="24"/>
        </w:rPr>
        <w:t>Hosea</w:t>
      </w:r>
    </w:p>
    <w:p w14:paraId="6DE58577" w14:textId="77777777" w:rsidR="00BE448B" w:rsidRPr="009E2753" w:rsidRDefault="00BE448B" w:rsidP="00BE448B">
      <w:pPr>
        <w:pStyle w:val="Default"/>
        <w:ind w:right="720"/>
        <w:rPr>
          <w:rFonts w:ascii="Calibri" w:hAnsi="Calibri" w:cs="Calibri"/>
          <w:sz w:val="24"/>
          <w:szCs w:val="24"/>
        </w:rPr>
      </w:pPr>
      <w:r w:rsidRPr="009E2753">
        <w:rPr>
          <w:rFonts w:ascii="Calibri" w:hAnsi="Calibri" w:cs="Calibri"/>
          <w:sz w:val="24"/>
          <w:szCs w:val="24"/>
        </w:rPr>
        <w:t xml:space="preserve">Week 2: </w:t>
      </w:r>
      <w:r>
        <w:rPr>
          <w:rFonts w:ascii="Calibri" w:hAnsi="Calibri" w:cs="Calibri"/>
          <w:sz w:val="24"/>
          <w:szCs w:val="24"/>
        </w:rPr>
        <w:t>Micah</w:t>
      </w:r>
    </w:p>
    <w:p w14:paraId="193E2948" w14:textId="77777777" w:rsidR="00BE448B" w:rsidRPr="009E2753" w:rsidRDefault="00BE448B" w:rsidP="00BE448B">
      <w:pPr>
        <w:pStyle w:val="Default"/>
        <w:ind w:right="720"/>
        <w:rPr>
          <w:rFonts w:ascii="Calibri" w:hAnsi="Calibri" w:cs="Calibri"/>
          <w:sz w:val="24"/>
          <w:szCs w:val="24"/>
        </w:rPr>
      </w:pPr>
      <w:r w:rsidRPr="009E2753">
        <w:rPr>
          <w:rFonts w:ascii="Calibri" w:hAnsi="Calibri" w:cs="Calibri"/>
          <w:sz w:val="24"/>
          <w:szCs w:val="24"/>
        </w:rPr>
        <w:t xml:space="preserve">Week 3: </w:t>
      </w:r>
      <w:r>
        <w:rPr>
          <w:rFonts w:ascii="Calibri" w:hAnsi="Calibri" w:cs="Calibri"/>
          <w:sz w:val="24"/>
          <w:szCs w:val="24"/>
        </w:rPr>
        <w:t>Habakkuk</w:t>
      </w:r>
    </w:p>
    <w:p w14:paraId="00C27D29" w14:textId="77777777" w:rsidR="00BE448B" w:rsidRDefault="00BE448B" w:rsidP="00BE448B">
      <w:pPr>
        <w:pStyle w:val="Default"/>
        <w:ind w:right="720"/>
        <w:rPr>
          <w:rFonts w:ascii="Calibri" w:hAnsi="Calibri" w:cs="Calibri"/>
          <w:sz w:val="24"/>
          <w:szCs w:val="24"/>
        </w:rPr>
      </w:pPr>
      <w:r w:rsidRPr="009E2753">
        <w:rPr>
          <w:rFonts w:ascii="Calibri" w:hAnsi="Calibri" w:cs="Calibri"/>
          <w:sz w:val="24"/>
          <w:szCs w:val="24"/>
        </w:rPr>
        <w:t xml:space="preserve">Week 4: </w:t>
      </w:r>
      <w:r>
        <w:rPr>
          <w:rFonts w:ascii="Calibri" w:hAnsi="Calibri" w:cs="Calibri"/>
          <w:sz w:val="24"/>
          <w:szCs w:val="24"/>
        </w:rPr>
        <w:t>Haggai</w:t>
      </w:r>
    </w:p>
    <w:p w14:paraId="7AE56707" w14:textId="3FA222D7" w:rsidR="003F42C2" w:rsidRPr="009E2753" w:rsidRDefault="00BE448B" w:rsidP="00BE448B">
      <w:pPr>
        <w:pStyle w:val="Default"/>
        <w:ind w:right="720"/>
        <w:rPr>
          <w:rFonts w:ascii="Calibri" w:hAnsi="Calibri" w:cs="Calibri"/>
          <w:sz w:val="24"/>
          <w:szCs w:val="24"/>
        </w:rPr>
      </w:pPr>
      <w:r>
        <w:rPr>
          <w:rFonts w:ascii="Calibri" w:hAnsi="Calibri" w:cs="Calibri"/>
          <w:sz w:val="24"/>
          <w:szCs w:val="24"/>
        </w:rPr>
        <w:t>Week 5: Malachi</w:t>
      </w:r>
    </w:p>
    <w:p w14:paraId="4DAE7439" w14:textId="77777777" w:rsidR="003F42C2" w:rsidRPr="009E2753" w:rsidRDefault="003F42C2" w:rsidP="00BE448B">
      <w:pPr>
        <w:pStyle w:val="Default"/>
        <w:ind w:right="720"/>
        <w:rPr>
          <w:rFonts w:ascii="Calibri" w:hAnsi="Calibri" w:cs="Calibri"/>
          <w:sz w:val="24"/>
          <w:szCs w:val="24"/>
        </w:rPr>
      </w:pPr>
    </w:p>
    <w:p w14:paraId="338D10CD" w14:textId="75A35CB9" w:rsidR="003F42C2" w:rsidRPr="003F42C2" w:rsidRDefault="003F42C2" w:rsidP="00BE448B">
      <w:pPr>
        <w:pStyle w:val="Default"/>
        <w:ind w:right="720"/>
        <w:rPr>
          <w:rFonts w:ascii="Calibri" w:hAnsi="Calibri" w:cs="Calibri"/>
          <w:b/>
          <w:bCs/>
          <w:sz w:val="24"/>
          <w:szCs w:val="24"/>
        </w:rPr>
      </w:pPr>
      <w:r w:rsidRPr="009E2753">
        <w:rPr>
          <w:rFonts w:ascii="Calibri" w:hAnsi="Calibri" w:cs="Calibri"/>
          <w:b/>
          <w:bCs/>
          <w:sz w:val="24"/>
          <w:szCs w:val="24"/>
        </w:rPr>
        <w:t>Text (+ Supporting Text):</w:t>
      </w:r>
    </w:p>
    <w:p w14:paraId="45CA605D" w14:textId="43462A60" w:rsidR="003F42C2" w:rsidRPr="009E2753" w:rsidRDefault="003F42C2" w:rsidP="00BE448B">
      <w:pPr>
        <w:pStyle w:val="Default"/>
        <w:ind w:right="720"/>
        <w:rPr>
          <w:rFonts w:ascii="Calibri" w:hAnsi="Calibri" w:cs="Calibri"/>
          <w:sz w:val="24"/>
          <w:szCs w:val="24"/>
        </w:rPr>
      </w:pPr>
      <w:r w:rsidRPr="009E2753">
        <w:rPr>
          <w:rFonts w:ascii="Calibri" w:hAnsi="Calibri" w:cs="Calibri"/>
          <w:sz w:val="24"/>
          <w:szCs w:val="24"/>
        </w:rPr>
        <w:t xml:space="preserve">Week 1: </w:t>
      </w:r>
      <w:r w:rsidR="003311AC">
        <w:rPr>
          <w:rFonts w:asciiTheme="minorHAnsi" w:hAnsiTheme="minorHAnsi" w:cstheme="minorHAnsi"/>
          <w:sz w:val="24"/>
          <w:szCs w:val="24"/>
        </w:rPr>
        <w:t>Hosea 1:2-3, Hosea 2:1-5, Hosea 3:1-5</w:t>
      </w:r>
      <w:r w:rsidR="00A916A7">
        <w:rPr>
          <w:rFonts w:asciiTheme="minorHAnsi" w:hAnsiTheme="minorHAnsi" w:cstheme="minorHAnsi"/>
          <w:sz w:val="24"/>
          <w:szCs w:val="24"/>
        </w:rPr>
        <w:t>, Hosea 6:6</w:t>
      </w:r>
    </w:p>
    <w:p w14:paraId="7FDFAC18" w14:textId="7B2621BF" w:rsidR="003F42C2" w:rsidRPr="00EE554A" w:rsidRDefault="003F42C2" w:rsidP="00BE448B">
      <w:pPr>
        <w:pStyle w:val="Default"/>
        <w:ind w:right="720"/>
        <w:rPr>
          <w:rFonts w:asciiTheme="minorHAnsi" w:hAnsiTheme="minorHAnsi" w:cstheme="minorHAnsi"/>
          <w:sz w:val="24"/>
          <w:szCs w:val="24"/>
        </w:rPr>
      </w:pPr>
      <w:r w:rsidRPr="009E2753">
        <w:rPr>
          <w:rFonts w:ascii="Calibri" w:hAnsi="Calibri" w:cs="Calibri"/>
          <w:sz w:val="24"/>
          <w:szCs w:val="24"/>
        </w:rPr>
        <w:t xml:space="preserve">Week 2: </w:t>
      </w:r>
      <w:r w:rsidR="00EE554A">
        <w:rPr>
          <w:rFonts w:asciiTheme="minorHAnsi" w:hAnsiTheme="minorHAnsi" w:cstheme="minorHAnsi"/>
          <w:sz w:val="24"/>
          <w:szCs w:val="24"/>
        </w:rPr>
        <w:t>Micah 1:2, Micah 2:3, Micah 5:2, Matthew 2:5-6, Micah 6:8</w:t>
      </w:r>
    </w:p>
    <w:p w14:paraId="42DA0C87" w14:textId="0F8882EF" w:rsidR="003F42C2" w:rsidRPr="008F046C" w:rsidRDefault="003F42C2" w:rsidP="004B04F3">
      <w:pPr>
        <w:pStyle w:val="Default"/>
        <w:ind w:right="720"/>
        <w:rPr>
          <w:rFonts w:asciiTheme="minorHAnsi" w:hAnsiTheme="minorHAnsi" w:cstheme="minorHAnsi"/>
          <w:sz w:val="24"/>
          <w:szCs w:val="24"/>
        </w:rPr>
      </w:pPr>
      <w:r w:rsidRPr="009E2753">
        <w:rPr>
          <w:rFonts w:ascii="Calibri" w:hAnsi="Calibri" w:cs="Calibri"/>
          <w:sz w:val="24"/>
          <w:szCs w:val="24"/>
        </w:rPr>
        <w:t xml:space="preserve">Week 3: </w:t>
      </w:r>
      <w:r w:rsidR="004B04F3">
        <w:rPr>
          <w:rFonts w:ascii="Calibri" w:hAnsi="Calibri" w:cs="Calibri"/>
          <w:sz w:val="24"/>
          <w:szCs w:val="24"/>
        </w:rPr>
        <w:t xml:space="preserve">Habakkuk 3:19, </w:t>
      </w:r>
      <w:r w:rsidR="008F046C">
        <w:rPr>
          <w:rFonts w:asciiTheme="minorHAnsi" w:hAnsiTheme="minorHAnsi" w:cstheme="minorHAnsi"/>
          <w:sz w:val="24"/>
          <w:szCs w:val="24"/>
        </w:rPr>
        <w:t xml:space="preserve">Habakkuk 1:2-4, Habakkuk 1:6, Habakkuk 1:12-13, </w:t>
      </w:r>
      <w:r w:rsidR="00DA3400">
        <w:rPr>
          <w:rFonts w:asciiTheme="minorHAnsi" w:hAnsiTheme="minorHAnsi" w:cstheme="minorHAnsi"/>
          <w:sz w:val="24"/>
          <w:szCs w:val="24"/>
        </w:rPr>
        <w:tab/>
      </w:r>
      <w:r w:rsidR="008F046C">
        <w:rPr>
          <w:rFonts w:asciiTheme="minorHAnsi" w:hAnsiTheme="minorHAnsi" w:cstheme="minorHAnsi"/>
          <w:sz w:val="24"/>
          <w:szCs w:val="24"/>
        </w:rPr>
        <w:t>Habakkuk</w:t>
      </w:r>
      <w:r w:rsidR="00DA3400">
        <w:rPr>
          <w:rFonts w:asciiTheme="minorHAnsi" w:hAnsiTheme="minorHAnsi" w:cstheme="minorHAnsi"/>
          <w:sz w:val="24"/>
          <w:szCs w:val="24"/>
        </w:rPr>
        <w:t xml:space="preserve"> </w:t>
      </w:r>
      <w:r w:rsidR="008F046C">
        <w:rPr>
          <w:rFonts w:asciiTheme="minorHAnsi" w:hAnsiTheme="minorHAnsi" w:cstheme="minorHAnsi"/>
          <w:sz w:val="24"/>
          <w:szCs w:val="24"/>
        </w:rPr>
        <w:t>2:2-4, Habakkuk 3:16-19</w:t>
      </w:r>
    </w:p>
    <w:p w14:paraId="420D04E6" w14:textId="0313CE6A" w:rsidR="003F42C2" w:rsidRPr="008367E1" w:rsidRDefault="003F42C2" w:rsidP="003F42C2">
      <w:pPr>
        <w:rPr>
          <w:rFonts w:cstheme="minorHAnsi"/>
        </w:rPr>
      </w:pPr>
      <w:r w:rsidRPr="009E2753">
        <w:rPr>
          <w:rFonts w:ascii="Calibri" w:hAnsi="Calibri" w:cs="Calibri"/>
        </w:rPr>
        <w:t xml:space="preserve">Week 4: </w:t>
      </w:r>
      <w:r w:rsidR="00DA3400">
        <w:rPr>
          <w:rFonts w:cstheme="minorHAnsi"/>
        </w:rPr>
        <w:t xml:space="preserve">Haggai 1:2-6, Haggai 1:7-9, Deuteronomy 26:2, </w:t>
      </w:r>
      <w:r w:rsidR="00DA3400" w:rsidRPr="0A446D8A">
        <w:t>2 Samuel 11-16</w:t>
      </w:r>
      <w:r w:rsidR="00DA3400">
        <w:rPr>
          <w:rFonts w:cstheme="minorHAnsi"/>
        </w:rPr>
        <w:t xml:space="preserve">, Haggai 2:7, </w:t>
      </w:r>
      <w:r w:rsidR="00DA3400">
        <w:rPr>
          <w:rFonts w:cstheme="minorHAnsi"/>
        </w:rPr>
        <w:tab/>
      </w:r>
      <w:r w:rsidR="00DA3400">
        <w:rPr>
          <w:rFonts w:cstheme="minorHAnsi"/>
        </w:rPr>
        <w:tab/>
        <w:t>Haggai 2:19</w:t>
      </w:r>
    </w:p>
    <w:p w14:paraId="40CD5B6D" w14:textId="2C7373C7" w:rsidR="002153A7" w:rsidRPr="00D90B84" w:rsidRDefault="003F42C2" w:rsidP="002153A7">
      <w:pPr>
        <w:rPr>
          <w:rFonts w:cstheme="minorHAnsi"/>
        </w:rPr>
      </w:pPr>
      <w:r>
        <w:rPr>
          <w:rFonts w:ascii="Calibri" w:hAnsi="Calibri" w:cs="Calibri"/>
        </w:rPr>
        <w:t xml:space="preserve">Week 5: </w:t>
      </w:r>
      <w:r w:rsidR="002153A7">
        <w:rPr>
          <w:rFonts w:cstheme="minorHAnsi"/>
        </w:rPr>
        <w:t>Genesis 3:15, Malachi 1:2, Malachi 3:1, Malachi 3:16-18, Galatians 5:22-23</w:t>
      </w:r>
    </w:p>
    <w:p w14:paraId="39605C50" w14:textId="213945C8" w:rsidR="003F42C2" w:rsidRPr="009E2753" w:rsidRDefault="003F42C2" w:rsidP="003F42C2">
      <w:pPr>
        <w:rPr>
          <w:rFonts w:ascii="Calibri" w:hAnsi="Calibri" w:cs="Calibri"/>
        </w:rPr>
      </w:pPr>
    </w:p>
    <w:p w14:paraId="0881D189" w14:textId="77777777" w:rsidR="003F42C2" w:rsidRPr="009E2753" w:rsidRDefault="003F42C2" w:rsidP="003F42C2">
      <w:pPr>
        <w:pStyle w:val="Default"/>
        <w:ind w:right="720"/>
        <w:rPr>
          <w:rFonts w:ascii="Calibri" w:eastAsia="Calibri" w:hAnsi="Calibri" w:cs="Calibri"/>
          <w:sz w:val="24"/>
          <w:szCs w:val="24"/>
        </w:rPr>
      </w:pPr>
    </w:p>
    <w:p w14:paraId="77503069" w14:textId="77777777" w:rsidR="003F42C2" w:rsidRPr="009E2753" w:rsidRDefault="003F42C2" w:rsidP="003F42C2">
      <w:pPr>
        <w:pStyle w:val="Default"/>
        <w:ind w:right="720"/>
        <w:rPr>
          <w:rFonts w:ascii="Calibri" w:eastAsia="Calibri" w:hAnsi="Calibri" w:cs="Calibri"/>
          <w:sz w:val="24"/>
          <w:szCs w:val="24"/>
        </w:rPr>
      </w:pPr>
      <w:r w:rsidRPr="009E2753">
        <w:rPr>
          <w:rFonts w:ascii="Calibri" w:hAnsi="Calibri" w:cs="Calibri"/>
          <w:b/>
          <w:bCs/>
          <w:sz w:val="24"/>
          <w:szCs w:val="24"/>
        </w:rPr>
        <w:t>THP</w:t>
      </w:r>
      <w:r w:rsidRPr="009E2753">
        <w:rPr>
          <w:rFonts w:ascii="Calibri" w:hAnsi="Calibri" w:cs="Calibri"/>
          <w:sz w:val="24"/>
          <w:szCs w:val="24"/>
        </w:rPr>
        <w:t xml:space="preserve">: </w:t>
      </w:r>
    </w:p>
    <w:p w14:paraId="1178116C" w14:textId="3882B3E4" w:rsidR="003F42C2" w:rsidRPr="009E2753" w:rsidRDefault="003F42C2" w:rsidP="003F42C2">
      <w:pPr>
        <w:pStyle w:val="Default"/>
        <w:ind w:right="720"/>
        <w:rPr>
          <w:rFonts w:ascii="Calibri" w:hAnsi="Calibri" w:cs="Calibri"/>
          <w:sz w:val="24"/>
          <w:szCs w:val="24"/>
        </w:rPr>
      </w:pPr>
      <w:r w:rsidRPr="009E2753">
        <w:rPr>
          <w:rFonts w:ascii="Calibri" w:hAnsi="Calibri" w:cs="Calibri"/>
          <w:sz w:val="24"/>
          <w:szCs w:val="24"/>
        </w:rPr>
        <w:t xml:space="preserve">Week 1: </w:t>
      </w:r>
      <w:r w:rsidR="00D362C7">
        <w:rPr>
          <w:rFonts w:ascii="Calibri" w:hAnsi="Calibri" w:cs="Calibri"/>
          <w:sz w:val="24"/>
          <w:szCs w:val="24"/>
        </w:rPr>
        <w:t>Let go of</w:t>
      </w:r>
      <w:r w:rsidR="002112BC">
        <w:rPr>
          <w:rFonts w:ascii="Calibri" w:hAnsi="Calibri" w:cs="Calibri"/>
          <w:sz w:val="24"/>
          <w:szCs w:val="24"/>
        </w:rPr>
        <w:t xml:space="preserve"> the </w:t>
      </w:r>
      <w:r w:rsidR="002112BC" w:rsidRPr="002112BC">
        <w:rPr>
          <w:rFonts w:ascii="Calibri" w:hAnsi="Calibri" w:cs="Calibri"/>
          <w:sz w:val="24"/>
          <w:szCs w:val="24"/>
          <w:u w:val="single"/>
        </w:rPr>
        <w:t>unforgiveness</w:t>
      </w:r>
      <w:r w:rsidR="002112BC">
        <w:rPr>
          <w:rFonts w:ascii="Calibri" w:hAnsi="Calibri" w:cs="Calibri"/>
          <w:sz w:val="24"/>
          <w:szCs w:val="24"/>
        </w:rPr>
        <w:t xml:space="preserve"> you’re holding on to.</w:t>
      </w:r>
    </w:p>
    <w:p w14:paraId="46410AC4" w14:textId="347D4894" w:rsidR="003F42C2" w:rsidRPr="009E2753" w:rsidRDefault="003F42C2" w:rsidP="003F42C2">
      <w:pPr>
        <w:pStyle w:val="Default"/>
        <w:ind w:right="720"/>
        <w:rPr>
          <w:rFonts w:ascii="Calibri" w:hAnsi="Calibri" w:cs="Calibri"/>
          <w:sz w:val="24"/>
          <w:szCs w:val="24"/>
        </w:rPr>
      </w:pPr>
      <w:r w:rsidRPr="009E2753">
        <w:rPr>
          <w:rFonts w:ascii="Calibri" w:hAnsi="Calibri" w:cs="Calibri"/>
          <w:sz w:val="24"/>
          <w:szCs w:val="24"/>
        </w:rPr>
        <w:t>Week 2:</w:t>
      </w:r>
      <w:r w:rsidR="002112BC">
        <w:rPr>
          <w:rFonts w:ascii="Calibri" w:hAnsi="Calibri" w:cs="Calibri"/>
          <w:sz w:val="24"/>
          <w:szCs w:val="24"/>
        </w:rPr>
        <w:t xml:space="preserve"> </w:t>
      </w:r>
      <w:r w:rsidR="00D362C7">
        <w:rPr>
          <w:rFonts w:ascii="Calibri" w:hAnsi="Calibri" w:cs="Calibri"/>
          <w:sz w:val="24"/>
          <w:szCs w:val="24"/>
        </w:rPr>
        <w:t>Let go of</w:t>
      </w:r>
      <w:r w:rsidR="002112BC">
        <w:rPr>
          <w:rFonts w:ascii="Calibri" w:hAnsi="Calibri" w:cs="Calibri"/>
          <w:sz w:val="24"/>
          <w:szCs w:val="24"/>
        </w:rPr>
        <w:t xml:space="preserve"> the</w:t>
      </w:r>
      <w:r w:rsidRPr="009E2753">
        <w:rPr>
          <w:rFonts w:ascii="Calibri" w:hAnsi="Calibri" w:cs="Calibri"/>
          <w:sz w:val="24"/>
          <w:szCs w:val="24"/>
        </w:rPr>
        <w:t xml:space="preserve"> </w:t>
      </w:r>
      <w:r w:rsidR="002112BC" w:rsidRPr="00BE448B">
        <w:rPr>
          <w:rFonts w:ascii="Calibri" w:hAnsi="Calibri" w:cs="Calibri"/>
          <w:sz w:val="24"/>
          <w:szCs w:val="24"/>
          <w:u w:val="single"/>
        </w:rPr>
        <w:t>injustice</w:t>
      </w:r>
      <w:r w:rsidR="00BE448B">
        <w:rPr>
          <w:rFonts w:ascii="Calibri" w:hAnsi="Calibri" w:cs="Calibri"/>
          <w:sz w:val="24"/>
          <w:szCs w:val="24"/>
        </w:rPr>
        <w:t xml:space="preserve"> </w:t>
      </w:r>
      <w:r w:rsidR="002112BC" w:rsidRPr="00BE448B">
        <w:rPr>
          <w:rFonts w:ascii="Calibri" w:hAnsi="Calibri" w:cs="Calibri"/>
          <w:sz w:val="24"/>
          <w:szCs w:val="24"/>
        </w:rPr>
        <w:t>you’re</w:t>
      </w:r>
      <w:r w:rsidR="002112BC">
        <w:rPr>
          <w:rFonts w:ascii="Calibri" w:hAnsi="Calibri" w:cs="Calibri"/>
          <w:sz w:val="24"/>
          <w:szCs w:val="24"/>
        </w:rPr>
        <w:t xml:space="preserve"> holding on to.</w:t>
      </w:r>
    </w:p>
    <w:p w14:paraId="4846D353" w14:textId="420D0BEF" w:rsidR="003F42C2" w:rsidRDefault="003F42C2" w:rsidP="003F42C2">
      <w:pPr>
        <w:pStyle w:val="Default"/>
        <w:ind w:right="720"/>
        <w:rPr>
          <w:rFonts w:ascii="Calibri" w:hAnsi="Calibri" w:cs="Calibri"/>
          <w:sz w:val="24"/>
          <w:szCs w:val="24"/>
        </w:rPr>
      </w:pPr>
      <w:r w:rsidRPr="009E2753">
        <w:rPr>
          <w:rFonts w:ascii="Calibri" w:hAnsi="Calibri" w:cs="Calibri"/>
          <w:sz w:val="24"/>
          <w:szCs w:val="24"/>
        </w:rPr>
        <w:t xml:space="preserve">Week 3: </w:t>
      </w:r>
      <w:r w:rsidR="00D362C7">
        <w:rPr>
          <w:rFonts w:ascii="Calibri" w:hAnsi="Calibri" w:cs="Calibri"/>
          <w:sz w:val="24"/>
          <w:szCs w:val="24"/>
        </w:rPr>
        <w:t>Let go of</w:t>
      </w:r>
      <w:r w:rsidR="002112BC">
        <w:rPr>
          <w:rFonts w:ascii="Calibri" w:hAnsi="Calibri" w:cs="Calibri"/>
          <w:sz w:val="24"/>
          <w:szCs w:val="24"/>
        </w:rPr>
        <w:t xml:space="preserve"> the </w:t>
      </w:r>
      <w:r w:rsidR="002112BC" w:rsidRPr="002112BC">
        <w:rPr>
          <w:rFonts w:ascii="Calibri" w:hAnsi="Calibri" w:cs="Calibri"/>
          <w:sz w:val="24"/>
          <w:szCs w:val="24"/>
          <w:u w:val="single"/>
        </w:rPr>
        <w:t>doubt</w:t>
      </w:r>
      <w:r w:rsidR="002112BC">
        <w:rPr>
          <w:rFonts w:ascii="Calibri" w:hAnsi="Calibri" w:cs="Calibri"/>
          <w:sz w:val="24"/>
          <w:szCs w:val="24"/>
        </w:rPr>
        <w:t xml:space="preserve"> you’re holding on to.</w:t>
      </w:r>
    </w:p>
    <w:p w14:paraId="6025F3FD" w14:textId="5B989C9E" w:rsidR="003F42C2" w:rsidRDefault="003F42C2" w:rsidP="003F42C2">
      <w:pPr>
        <w:rPr>
          <w:rFonts w:ascii="Calibri" w:hAnsi="Calibri" w:cs="Calibri"/>
        </w:rPr>
      </w:pPr>
      <w:r w:rsidRPr="009E2753">
        <w:rPr>
          <w:rFonts w:ascii="Calibri" w:hAnsi="Calibri" w:cs="Calibri"/>
        </w:rPr>
        <w:t xml:space="preserve">Week 4: </w:t>
      </w:r>
      <w:r w:rsidR="00D362C7">
        <w:rPr>
          <w:rFonts w:ascii="Calibri" w:hAnsi="Calibri" w:cs="Calibri"/>
        </w:rPr>
        <w:t>Let go of</w:t>
      </w:r>
      <w:r w:rsidR="002112BC">
        <w:rPr>
          <w:rFonts w:ascii="Calibri" w:hAnsi="Calibri" w:cs="Calibri"/>
        </w:rPr>
        <w:t xml:space="preserve"> the </w:t>
      </w:r>
      <w:r w:rsidR="00E713B8">
        <w:rPr>
          <w:rFonts w:ascii="Calibri" w:hAnsi="Calibri" w:cs="Calibri"/>
          <w:u w:val="single"/>
        </w:rPr>
        <w:t>apathy</w:t>
      </w:r>
      <w:r w:rsidR="002112BC">
        <w:rPr>
          <w:rFonts w:ascii="Calibri" w:hAnsi="Calibri" w:cs="Calibri"/>
        </w:rPr>
        <w:t xml:space="preserve"> you’re holding on to.</w:t>
      </w:r>
    </w:p>
    <w:p w14:paraId="5A5E1C76" w14:textId="5D052D57" w:rsidR="003F42C2" w:rsidRPr="009E2753" w:rsidRDefault="003F42C2" w:rsidP="003F42C2">
      <w:pPr>
        <w:rPr>
          <w:rFonts w:ascii="Calibri" w:hAnsi="Calibri" w:cs="Calibri"/>
        </w:rPr>
      </w:pPr>
      <w:r>
        <w:rPr>
          <w:rFonts w:ascii="Calibri" w:hAnsi="Calibri" w:cs="Calibri"/>
        </w:rPr>
        <w:t xml:space="preserve">Week 5: </w:t>
      </w:r>
      <w:r w:rsidR="00D362C7">
        <w:rPr>
          <w:rFonts w:ascii="Calibri" w:hAnsi="Calibri" w:cs="Calibri"/>
        </w:rPr>
        <w:t>Let go of</w:t>
      </w:r>
      <w:r w:rsidR="002112BC">
        <w:rPr>
          <w:rFonts w:ascii="Calibri" w:hAnsi="Calibri" w:cs="Calibri"/>
        </w:rPr>
        <w:t xml:space="preserve"> the </w:t>
      </w:r>
      <w:r w:rsidR="002112BC" w:rsidRPr="002112BC">
        <w:rPr>
          <w:rFonts w:ascii="Calibri" w:hAnsi="Calibri" w:cs="Calibri"/>
          <w:u w:val="single"/>
        </w:rPr>
        <w:t>impatience</w:t>
      </w:r>
      <w:r w:rsidR="002112BC">
        <w:rPr>
          <w:rFonts w:ascii="Calibri" w:hAnsi="Calibri" w:cs="Calibri"/>
        </w:rPr>
        <w:t xml:space="preserve"> you’re holding on to.</w:t>
      </w:r>
    </w:p>
    <w:p w14:paraId="6776BF7E" w14:textId="77777777" w:rsidR="003F42C2" w:rsidRPr="009E2753" w:rsidRDefault="003F42C2" w:rsidP="003F42C2">
      <w:pPr>
        <w:pStyle w:val="Default"/>
        <w:ind w:right="720"/>
        <w:rPr>
          <w:rFonts w:ascii="Calibri" w:hAnsi="Calibri" w:cs="Calibri"/>
          <w:sz w:val="24"/>
          <w:szCs w:val="24"/>
        </w:rPr>
      </w:pPr>
    </w:p>
    <w:p w14:paraId="519D42CD" w14:textId="697DC3B7" w:rsidR="003F42C2" w:rsidRPr="009E2753" w:rsidRDefault="003F42C2" w:rsidP="003F42C2">
      <w:pPr>
        <w:pStyle w:val="Default"/>
        <w:ind w:right="720"/>
        <w:rPr>
          <w:rFonts w:ascii="Calibri" w:hAnsi="Calibri" w:cs="Calibri"/>
          <w:b/>
          <w:bCs/>
          <w:sz w:val="24"/>
          <w:szCs w:val="24"/>
        </w:rPr>
      </w:pPr>
      <w:r w:rsidRPr="009E2753">
        <w:rPr>
          <w:rFonts w:ascii="Calibri" w:hAnsi="Calibri" w:cs="Calibri"/>
          <w:b/>
          <w:bCs/>
          <w:sz w:val="24"/>
          <w:szCs w:val="24"/>
        </w:rPr>
        <w:t xml:space="preserve">Supporting Points </w:t>
      </w:r>
      <w:r>
        <w:rPr>
          <w:rFonts w:ascii="Calibri" w:hAnsi="Calibri" w:cs="Calibri"/>
          <w:b/>
          <w:bCs/>
          <w:sz w:val="24"/>
          <w:szCs w:val="24"/>
        </w:rPr>
        <w:t>(N</w:t>
      </w:r>
      <w:r w:rsidRPr="009E2753">
        <w:rPr>
          <w:rFonts w:ascii="Calibri" w:hAnsi="Calibri" w:cs="Calibri"/>
          <w:b/>
          <w:bCs/>
          <w:sz w:val="24"/>
          <w:szCs w:val="24"/>
        </w:rPr>
        <w:t xml:space="preserve">ot </w:t>
      </w:r>
      <w:r>
        <w:rPr>
          <w:rFonts w:ascii="Calibri" w:hAnsi="Calibri" w:cs="Calibri"/>
          <w:b/>
          <w:bCs/>
          <w:sz w:val="24"/>
          <w:szCs w:val="24"/>
        </w:rPr>
        <w:t>R</w:t>
      </w:r>
      <w:r w:rsidRPr="009E2753">
        <w:rPr>
          <w:rFonts w:ascii="Calibri" w:hAnsi="Calibri" w:cs="Calibri"/>
          <w:b/>
          <w:bCs/>
          <w:sz w:val="24"/>
          <w:szCs w:val="24"/>
        </w:rPr>
        <w:t>equired):</w:t>
      </w:r>
    </w:p>
    <w:p w14:paraId="1918A03F" w14:textId="2DDAB6B3" w:rsidR="003F42C2" w:rsidRPr="009E2753" w:rsidRDefault="00AE66D7" w:rsidP="003F42C2">
      <w:pPr>
        <w:pStyle w:val="Default"/>
        <w:ind w:right="720"/>
        <w:rPr>
          <w:rFonts w:ascii="Calibri" w:hAnsi="Calibri" w:cs="Calibri"/>
          <w:sz w:val="24"/>
          <w:szCs w:val="24"/>
        </w:rPr>
      </w:pPr>
      <w:r>
        <w:rPr>
          <w:rFonts w:ascii="Calibri" w:hAnsi="Calibri" w:cs="Calibri"/>
          <w:sz w:val="24"/>
          <w:szCs w:val="24"/>
        </w:rPr>
        <w:t>N/A</w:t>
      </w:r>
    </w:p>
    <w:p w14:paraId="682FB5E1" w14:textId="77777777" w:rsidR="004D70EA" w:rsidRDefault="004D70EA" w:rsidP="004D70EA">
      <w:pPr>
        <w:pStyle w:val="Default"/>
        <w:ind w:right="720"/>
        <w:rPr>
          <w:rFonts w:ascii="Calibri" w:hAnsi="Calibri" w:cs="Calibri"/>
          <w:sz w:val="24"/>
          <w:szCs w:val="24"/>
        </w:rPr>
      </w:pPr>
    </w:p>
    <w:p w14:paraId="3F7DFF0E" w14:textId="450EE9E4" w:rsidR="001C283A" w:rsidRPr="004D70EA" w:rsidRDefault="001C283A" w:rsidP="004D70EA">
      <w:pPr>
        <w:pStyle w:val="Default"/>
        <w:ind w:right="720"/>
        <w:rPr>
          <w:rFonts w:ascii="Calibri" w:hAnsi="Calibri" w:cs="Calibri"/>
          <w:sz w:val="24"/>
          <w:szCs w:val="24"/>
        </w:rPr>
      </w:pPr>
      <w:r w:rsidRPr="3439E200">
        <w:rPr>
          <w:rFonts w:ascii="Times New Roman" w:eastAsia="Times New Roman" w:hAnsi="Times New Roman" w:cs="Times New Roman"/>
          <w:i/>
          <w:iCs/>
          <w:color w:val="FF0000"/>
          <w:sz w:val="24"/>
          <w:szCs w:val="24"/>
        </w:rPr>
        <w:t>Red – Scripture</w:t>
      </w:r>
    </w:p>
    <w:p w14:paraId="5FAE89EF" w14:textId="77777777" w:rsidR="001C283A" w:rsidRDefault="001C283A" w:rsidP="001C283A">
      <w:pPr>
        <w:rPr>
          <w:rFonts w:ascii="Times New Roman" w:eastAsia="Times New Roman" w:hAnsi="Times New Roman" w:cs="Times New Roman"/>
          <w:color w:val="4472C4" w:themeColor="accent1"/>
        </w:rPr>
      </w:pPr>
      <w:r w:rsidRPr="3439E200">
        <w:rPr>
          <w:rFonts w:ascii="Times New Roman" w:eastAsia="Times New Roman" w:hAnsi="Times New Roman" w:cs="Times New Roman"/>
          <w:i/>
          <w:iCs/>
          <w:color w:val="4472C4" w:themeColor="accent1"/>
        </w:rPr>
        <w:t>Blue – Personal Story</w:t>
      </w:r>
    </w:p>
    <w:p w14:paraId="45EE8B76" w14:textId="77777777" w:rsidR="001C283A" w:rsidRDefault="001C283A" w:rsidP="001C283A">
      <w:pPr>
        <w:rPr>
          <w:rFonts w:ascii="Times New Roman" w:eastAsia="Times New Roman" w:hAnsi="Times New Roman" w:cs="Times New Roman"/>
          <w:color w:val="70AD47" w:themeColor="accent6"/>
        </w:rPr>
      </w:pPr>
      <w:r w:rsidRPr="3439E200">
        <w:rPr>
          <w:rFonts w:ascii="Times New Roman" w:eastAsia="Times New Roman" w:hAnsi="Times New Roman" w:cs="Times New Roman"/>
          <w:i/>
          <w:iCs/>
          <w:color w:val="70AD47" w:themeColor="accent6"/>
        </w:rPr>
        <w:t>Green – Prop</w:t>
      </w:r>
    </w:p>
    <w:p w14:paraId="7259467B" w14:textId="44F49DB1" w:rsidR="004525BF" w:rsidRPr="00BE448B" w:rsidRDefault="001C283A" w:rsidP="00BE448B">
      <w:pPr>
        <w:rPr>
          <w:rFonts w:ascii="Times New Roman" w:eastAsia="Times New Roman" w:hAnsi="Times New Roman" w:cs="Times New Roman"/>
          <w:color w:val="000000" w:themeColor="text1"/>
        </w:rPr>
      </w:pPr>
      <w:r w:rsidRPr="3439E200">
        <w:rPr>
          <w:rFonts w:ascii="Times New Roman" w:eastAsia="Times New Roman" w:hAnsi="Times New Roman" w:cs="Times New Roman"/>
          <w:b/>
          <w:bCs/>
          <w:i/>
          <w:iCs/>
          <w:color w:val="000000" w:themeColor="text1"/>
        </w:rPr>
        <w:t>THP/Main Points – Bold</w:t>
      </w:r>
    </w:p>
    <w:sectPr w:rsidR="004525BF" w:rsidRPr="00BE4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B5A"/>
    <w:multiLevelType w:val="hybridMultilevel"/>
    <w:tmpl w:val="A210BDEE"/>
    <w:lvl w:ilvl="0" w:tplc="62A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3EAC"/>
    <w:multiLevelType w:val="hybridMultilevel"/>
    <w:tmpl w:val="5E507710"/>
    <w:lvl w:ilvl="0" w:tplc="1C02BB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647"/>
    <w:multiLevelType w:val="hybridMultilevel"/>
    <w:tmpl w:val="8FCAC498"/>
    <w:lvl w:ilvl="0" w:tplc="405ECA18">
      <w:start w:val="9"/>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175FA"/>
    <w:multiLevelType w:val="hybridMultilevel"/>
    <w:tmpl w:val="CED0B760"/>
    <w:lvl w:ilvl="0" w:tplc="69E867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53DDC"/>
    <w:multiLevelType w:val="hybridMultilevel"/>
    <w:tmpl w:val="D0D8768A"/>
    <w:lvl w:ilvl="0" w:tplc="6EC612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A197B"/>
    <w:multiLevelType w:val="hybridMultilevel"/>
    <w:tmpl w:val="6E786FAC"/>
    <w:lvl w:ilvl="0" w:tplc="73643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067220"/>
    <w:rsid w:val="00190B9A"/>
    <w:rsid w:val="001C283A"/>
    <w:rsid w:val="002112BC"/>
    <w:rsid w:val="002153A7"/>
    <w:rsid w:val="002532F5"/>
    <w:rsid w:val="002B6337"/>
    <w:rsid w:val="003311AC"/>
    <w:rsid w:val="00355FB2"/>
    <w:rsid w:val="003C22DE"/>
    <w:rsid w:val="003F42C2"/>
    <w:rsid w:val="004525BF"/>
    <w:rsid w:val="0045704B"/>
    <w:rsid w:val="004B04F3"/>
    <w:rsid w:val="004C48FD"/>
    <w:rsid w:val="004D70EA"/>
    <w:rsid w:val="005F1683"/>
    <w:rsid w:val="006C5A38"/>
    <w:rsid w:val="006E48A8"/>
    <w:rsid w:val="006F631A"/>
    <w:rsid w:val="008367E1"/>
    <w:rsid w:val="008F046C"/>
    <w:rsid w:val="00A916A7"/>
    <w:rsid w:val="00AE66D7"/>
    <w:rsid w:val="00B92696"/>
    <w:rsid w:val="00BE448B"/>
    <w:rsid w:val="00C2540F"/>
    <w:rsid w:val="00D362C7"/>
    <w:rsid w:val="00DA3400"/>
    <w:rsid w:val="00DE5668"/>
    <w:rsid w:val="00E713B8"/>
    <w:rsid w:val="00E94C63"/>
    <w:rsid w:val="00EB757C"/>
    <w:rsid w:val="00EE554A"/>
    <w:rsid w:val="00EF6A84"/>
    <w:rsid w:val="00F60616"/>
    <w:rsid w:val="00F8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3CBD06A8-84F0-B94C-9787-5D4FD86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757C"/>
  </w:style>
  <w:style w:type="paragraph" w:styleId="ListParagraph">
    <w:name w:val="List Paragraph"/>
    <w:basedOn w:val="Normal"/>
    <w:uiPriority w:val="34"/>
    <w:qFormat/>
    <w:rsid w:val="00EB757C"/>
    <w:pPr>
      <w:ind w:left="720"/>
      <w:contextualSpacing/>
    </w:pPr>
  </w:style>
  <w:style w:type="paragraph" w:customStyle="1" w:styleId="Default">
    <w:name w:val="Default"/>
    <w:rsid w:val="003F42C2"/>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4364">
      <w:bodyDiv w:val="1"/>
      <w:marLeft w:val="0"/>
      <w:marRight w:val="0"/>
      <w:marTop w:val="0"/>
      <w:marBottom w:val="0"/>
      <w:divBdr>
        <w:top w:val="none" w:sz="0" w:space="0" w:color="auto"/>
        <w:left w:val="none" w:sz="0" w:space="0" w:color="auto"/>
        <w:bottom w:val="none" w:sz="0" w:space="0" w:color="auto"/>
        <w:right w:val="none" w:sz="0" w:space="0" w:color="auto"/>
      </w:divBdr>
    </w:div>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 w:id="19738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20429-A6D9-4FF8-AC6E-494B9D515264}"/>
</file>

<file path=customXml/itemProps2.xml><?xml version="1.0" encoding="utf-8"?>
<ds:datastoreItem xmlns:ds="http://schemas.openxmlformats.org/officeDocument/2006/customXml" ds:itemID="{B6D983DA-5BA9-4D7B-A993-F4273BF95BA2}"/>
</file>

<file path=customXml/itemProps3.xml><?xml version="1.0" encoding="utf-8"?>
<ds:datastoreItem xmlns:ds="http://schemas.openxmlformats.org/officeDocument/2006/customXml" ds:itemID="{D4A9EDA6-EB1A-4DB7-8853-3D5D34D6333F}"/>
</file>

<file path=docProps/app.xml><?xml version="1.0" encoding="utf-8"?>
<Properties xmlns="http://schemas.openxmlformats.org/officeDocument/2006/extended-properties" xmlns:vt="http://schemas.openxmlformats.org/officeDocument/2006/docPropsVTypes">
  <Template>Normal.dotm</Template>
  <TotalTime>143</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39</cp:revision>
  <dcterms:created xsi:type="dcterms:W3CDTF">2022-01-12T20:02:00Z</dcterms:created>
  <dcterms:modified xsi:type="dcterms:W3CDTF">2022-06-02T03:52:00Z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